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baseline"/>
        <w:rPr>
          <w:rFonts w:hint="eastAsia" w:ascii="宋体" w:hAnsi="宋体" w:eastAsia="宋体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Times New Roman"/>
          <w:b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宋体" w:hAnsi="宋体" w:eastAsia="宋体" w:cs="仿宋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baseline"/>
        <w:rPr>
          <w:rFonts w:hint="eastAsia" w:ascii="宋体" w:hAnsi="宋体" w:eastAsia="宋体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pacing w:line="560" w:lineRule="exac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关于举办2022江西巾帼直播电商创新创业大赛的预通知</w:t>
      </w:r>
    </w:p>
    <w:p>
      <w:pPr>
        <w:widowControl/>
        <w:spacing w:line="560" w:lineRule="exact"/>
        <w:jc w:val="both"/>
        <w:textAlignment w:val="baseline"/>
        <w:rPr>
          <w:rStyle w:val="10"/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2"/>
        <w:widowControl/>
        <w:rPr>
          <w:rFonts w:hint="eastAsia" w:ascii="Times New Roman" w:hAnsi="Times New Roman" w:eastAsia="宋体" w:cs="Times New Roman"/>
        </w:rPr>
      </w:pPr>
    </w:p>
    <w:p>
      <w:pPr>
        <w:widowControl/>
        <w:spacing w:line="560" w:lineRule="exact"/>
        <w:textAlignment w:val="baseline"/>
        <w:rPr>
          <w:rStyle w:val="10"/>
          <w:rFonts w:ascii="楷体" w:hAnsi="楷体" w:eastAsia="楷体" w:cs="Times New Roman"/>
          <w:b/>
          <w:color w:val="000000"/>
          <w:sz w:val="32"/>
          <w:szCs w:val="22"/>
        </w:rPr>
      </w:pP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22"/>
        </w:rPr>
        <w:t>各设区市妇联</w:t>
      </w: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22"/>
          <w:lang w:eastAsia="zh-CN"/>
        </w:rPr>
        <w:t>、商务局，各有关高校</w:t>
      </w: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2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firstLine="640" w:firstLineChars="200"/>
        <w:textAlignment w:val="baseline"/>
        <w:rPr>
          <w:rStyle w:val="10"/>
          <w:rFonts w:hint="eastAsia" w:ascii="黑体" w:hAnsi="黑体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22"/>
          <w:lang w:val="en-US" w:eastAsia="zh-CN"/>
        </w:rPr>
        <w:t>为积极贯彻落实省委、省政府关于深入推进数字经济做优做强“一号发展工程”的部署要求，进一步深化“创业创新巾帼行动”“科技创新巾帼行动”和“赣品网上行”，努力探索新经济新业态下妇女就业创业新模式，打造巾帼电商主播和赣品网络品牌，带动更多妇女创业共富，积极营造“巾帼心向党·喜迎二十大”浓厚氛围</w:t>
      </w:r>
      <w:r>
        <w:rPr>
          <w:rFonts w:hint="default" w:ascii="仿宋_GB2312" w:hAnsi="仿宋" w:eastAsia="仿宋_GB2312" w:cs="仿宋"/>
          <w:sz w:val="32"/>
          <w:szCs w:val="22"/>
          <w:lang w:val="en" w:eastAsia="zh-CN"/>
        </w:rPr>
        <w:t>,</w:t>
      </w:r>
      <w:r>
        <w:rPr>
          <w:rFonts w:hint="eastAsia" w:ascii="仿宋_GB2312" w:hAnsi="仿宋" w:eastAsia="仿宋_GB2312" w:cs="仿宋"/>
          <w:sz w:val="32"/>
          <w:szCs w:val="22"/>
          <w:lang w:val="en-US" w:eastAsia="zh-CN"/>
        </w:rPr>
        <w:t>经研究，省妇联拟联合省商务厅、省教育厅</w:t>
      </w:r>
      <w:r>
        <w:rPr>
          <w:rFonts w:hint="eastAsia" w:ascii="仿宋_GB2312" w:hAnsi="仿宋" w:eastAsia="仿宋_GB2312" w:cs="仿宋"/>
          <w:sz w:val="32"/>
          <w:szCs w:val="22"/>
        </w:rPr>
        <w:t>举办2022江西巾帼直播电商创新创业大赛。</w:t>
      </w:r>
      <w:r>
        <w:rPr>
          <w:rFonts w:hint="eastAsia" w:ascii="仿宋_GB2312" w:hAnsi="仿宋" w:eastAsia="仿宋_GB2312" w:cs="仿宋"/>
          <w:sz w:val="32"/>
          <w:szCs w:val="22"/>
          <w:lang w:eastAsia="zh-CN"/>
        </w:rPr>
        <w:t>现将有关事项预通知如下：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大赛主题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巾帼“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主办单位：江西省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妇女联合会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、江西省商务厅、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协办单位：各设区市妇联、各设区市商务局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支持单位：江西洪大（集团）股份有限公司、江西直播生态园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江西仟得文化传播有限公司、用友薪福社云科技有限公司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大赛内容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（一）大赛组别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大赛分为社会组和大学生组两个组别。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1.社会组。主播选拔推荐要求年满18周岁的女性，已在抖音平台开通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账号，账号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注册地为江西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主播本人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场以上直播带货经验，且粉丝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量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000。以直播带货方式销售江西名特优品牌产品。每位选手可自主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选定</w:t>
      </w:r>
      <w:r>
        <w:rPr>
          <w:rFonts w:hint="eastAsia" w:ascii="仿宋_GB2312" w:hAnsi="仿宋_GB2312" w:eastAsia="仿宋_GB2312" w:cs="仿宋_GB2312"/>
          <w:sz w:val="32"/>
          <w:szCs w:val="32"/>
        </w:rPr>
        <w:t>10-20种产品参赛，参赛期间的账号不可更改。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2.大学生组。有电商创业意愿的在校女大学生，需在抖音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开通账号。以选手本人出镜的原创短视频作品，宣传推广江西名特优品牌产品、展现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蕴含其中的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赣鄱文化和风物人情等开展竞赛。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（二）赛程安排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大赛分为市级选拔推荐、省级复赛、省级决赛（三强争冠赛）三个阶段。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1.市级选拔推荐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各高校选拔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推荐电商主播和在校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方式由各设区市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自行决定。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（社会组、大学生组推荐复赛选手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128名，具体推荐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名额分配见附件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2.省级复赛：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 6月25日—30日时间段内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，对进入省级复赛的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128名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选手进行线上培训。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社会组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入围省赛复赛的选手通过报名参赛账号，在为期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竞赛期内，每天进行一场时长2小时的直播带货，直播销售参赛选手自选产品（或自带产品）和不少于2种组委会指定参赛产品。大赛组委会制作大赛统一LOGO，复赛入围选手需在参赛带货直播间进行标识。根据大赛评分规则对参赛选手成绩进行统计排名，前10名进入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大学生组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入围省赛复赛的选手拍摄1个产品创意视频，产品由选手在参赛产品池内自选。需本人出镜，通过本人身份认证的参赛账号提交作品上传至参赛平台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抖音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发布。参赛作品认定以加上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“#巾帼“她力量” 赣品网上行”</w:t>
      </w:r>
      <w:r>
        <w:rPr>
          <w:rFonts w:hint="eastAsia" w:ascii="仿宋_GB2312" w:hAnsi="仿宋_GB2312" w:eastAsia="仿宋_GB2312" w:cs="仿宋_GB2312"/>
          <w:sz w:val="32"/>
          <w:szCs w:val="32"/>
        </w:rPr>
        <w:t>话题为准。根据大赛评分规则进行综合评分，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前20名进入决赛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3.省级决赛：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（时间待定）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省级决赛分排位赛和三强争冠赛两个阶段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（1）排位赛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社会组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入围省赛决赛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的10名选手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选手在为期3天的竞赛期内，每天进行一场时长2小时的直播带货，一共进行3场，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销售选手自带产品及大赛组委会指定参赛产品池中选取5种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参赛产品。根据大赛评分规则，按最终销售业绩及销售过程各项指标表现综合评分，决出三等奖和优秀奖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一、二等奖将在三强争冠赛现场揭晓。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大学生组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入围省赛决赛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20名选手拍摄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产品创意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视频，产品由选手在参赛产品池内自选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不能和省赛复赛拍摄产品重复。需本人出镜，通过本人身份认证的参赛账号提交作品上传至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抖音平台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发布。参赛作品认定以加上“# 巾帼“她力量” 赣品网上行”话题为准。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决出二等奖和三等奖，一等奖排名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将在三强争冠赛现场揭晓。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（2）三强争冠赛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三强争冠赛分两轮进行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①第一轮，每组前三名选手分别以带货路演方式进行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</w:rPr>
        <w:t>名特优品推荐，推荐产品为自选产品1个+现场抽取盲盒销售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指定的江西名特优品</w:t>
      </w:r>
      <w:r>
        <w:rPr>
          <w:rFonts w:hint="eastAsia" w:ascii="仿宋_GB2312" w:hAnsi="仿宋_GB2312" w:eastAsia="仿宋_GB2312" w:cs="仿宋_GB2312"/>
          <w:sz w:val="32"/>
          <w:szCs w:val="32"/>
        </w:rPr>
        <w:t>1个。每组决出前两名进入第二轮。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②第二轮，每组前两名选手进行创新创业故事演讲，分享作为带货主播和短视频拍摄创作的成长历程、参赛的心得感悟等决出每组冠军。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、参赛产品要求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1.南昌、九江、赣州、宜春、上饶、吉安、抚州各推荐6款当地名优特品，萍乡、景德镇、新余、鹰潭各推荐3款当地名特优品，大赛组委会遴选其中30款产品作为参赛产品池。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入选参赛产品池的企业，需提供省级决赛中现场展示和电商直播所需的产品，具体数量视实际情况而定。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2.参赛产品需为江西省本土优质特色产品、地理标志产品同时具备生产商的营业执照、食品生产许可证等资质且三年内无相关食品安全问题记录等。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3.参赛产品须符合国家质量标准，具备电商平台直播销售条件。产品供应商需签订供应商协议，确认发货、售后、退款、开票等服务，严格执行三包政策，保障消费者权益。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4.每个入选的产品必须是成熟的电商化产品，同时30天内销售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00单以上，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售后率不大于5%，货款赔3倍，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产品对应店铺评分平均不低于4.7分，且该产品所属的平台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满足抖音平台带货要求。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5.产品对应企业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具备一定的产品库存和发货能力，确保产品库存和发货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日均</w:t>
      </w:r>
      <w:r>
        <w:rPr>
          <w:rFonts w:hint="eastAsia" w:ascii="仿宋_GB2312" w:hAnsi="仿宋_GB2312" w:eastAsia="仿宋_GB2312" w:cs="仿宋_GB2312"/>
          <w:sz w:val="32"/>
          <w:szCs w:val="32"/>
        </w:rPr>
        <w:t>不低于1000单。销售价格不能高于近30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销售均价，并提供相关价格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佐</w:t>
      </w:r>
      <w:r>
        <w:rPr>
          <w:rFonts w:hint="eastAsia" w:ascii="仿宋_GB2312" w:hAnsi="仿宋_GB2312" w:eastAsia="仿宋_GB2312" w:cs="仿宋_GB2312"/>
          <w:sz w:val="32"/>
          <w:szCs w:val="32"/>
        </w:rPr>
        <w:t>证材料。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48小时内发货。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复赛中参赛选手自带的产品也必须是符合以上要求的省内网销产品。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、奖励与支持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1.决赛社会组设一等奖1名，二等奖2名，三等奖3名，最具潜力巾帼主播4名。大学生组设一等奖3名，二等奖6名，三等奖11名。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对组织、动员和宣传力度大、效果好的设区市妇联授予优秀组织单位奖并颁发奖牌。对大赛提供大力支持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和协助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的相关单位、社会机构、企业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团队和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个人授予特别贡献奖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等奖项，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并颁发奖牌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或证书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tbl>
      <w:tblPr>
        <w:tblStyle w:val="7"/>
        <w:tblW w:w="942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40"/>
        <w:gridCol w:w="1230"/>
        <w:gridCol w:w="1680"/>
        <w:gridCol w:w="11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奖项设置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奖励（元）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（个）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社会组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一等奖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1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3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二等奖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三等奖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优秀奖（最具潜力巾帼主播）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大学生组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一等奖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1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53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二等奖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1000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三等奖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500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总计</w:t>
            </w:r>
          </w:p>
        </w:tc>
        <w:tc>
          <w:tcPr>
            <w:tcW w:w="525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38500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2.将所有参加省赛的选手纳入大赛主播人才库,引导新人巾帼主播放大自身闪光点，有就业意向的推荐就业。优秀获奖巾帼主播通过大赛平台宣传推广，提升影响力和曝光度，拓宽发展渠道。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3.促进建立电商企业与巾帼电商主播之间的供应关系，完善直播电商供应链，帮助巾帼主播进行品牌定向合作招商。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</w:rPr>
        <w:t>1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.请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各设区市妇联负责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会同当地商务局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组织协调参加省级复赛选手的推荐选拔工作。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各设区市商务局负责推荐当地名特优品参赛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并组织协调本地选手参加省赛的选品用品工作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2.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请各设区市妇联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按照《社会组复赛选手名额分配表》（附件1）会同市商务局组织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</w:rPr>
        <w:t>填写好《江西巾帼直播电商创新创业大赛参赛选手报名表》（附件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</w:rPr>
        <w:t>）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、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《社会组直播推荐信息登记表》（附件4）、《社会组直播带货相关数据统计表》（附件5）、《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参赛产品池推荐报名表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（附件6）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各设区市/各高校选拔推荐省赛选手汇总表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（附件7），并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于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6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月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20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日之前将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以上表格材料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报省妇联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妇女发展部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</w:rPr>
        <w:t>邮箱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。各有关高校按照《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大学生组复赛选手名额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（账号）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分配表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（附件2）填写好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</w:rPr>
        <w:t>《江西巾帼直播电商创新创业大赛参赛选手报名表》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（附件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）、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各设区市/各高校选拔推荐省赛选手汇总表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（附件7）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于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6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月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20</w:t>
      </w:r>
      <w:r>
        <w:rPr>
          <w:rStyle w:val="10"/>
          <w:rFonts w:ascii="仿宋_GB2312" w:hAnsi="仿宋" w:eastAsia="仿宋_GB2312" w:cs="Times New Roman"/>
          <w:color w:val="000000"/>
          <w:sz w:val="32"/>
          <w:szCs w:val="22"/>
        </w:rPr>
        <w:t>日之前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报省教育厅高等教育处邮箱。</w:t>
      </w:r>
    </w:p>
    <w:p>
      <w:pPr>
        <w:spacing w:after="120"/>
        <w:ind w:firstLine="640" w:firstLineChars="200"/>
        <w:jc w:val="both"/>
        <w:textAlignment w:val="baseline"/>
        <w:rPr>
          <w:rStyle w:val="10"/>
          <w:rFonts w:hint="eastAsia" w:ascii="仿宋_GB2312" w:hAnsi="仿宋" w:eastAsia="仿宋_GB2312" w:cs="Times New Roman"/>
          <w:b w:val="0"/>
          <w:bCs w:val="0"/>
          <w:color w:val="000000"/>
          <w:kern w:val="2"/>
          <w:sz w:val="32"/>
          <w:szCs w:val="22"/>
          <w:lang w:val="en-US" w:eastAsia="zh-CN" w:bidi="ar-SA"/>
        </w:rPr>
      </w:pP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.</w:t>
      </w:r>
      <w:r>
        <w:rPr>
          <w:rStyle w:val="10"/>
          <w:rFonts w:hint="eastAsia" w:ascii="仿宋_GB2312" w:hAnsi="仿宋" w:eastAsia="仿宋_GB2312" w:cs="Times New Roman"/>
          <w:b w:val="0"/>
          <w:bCs w:val="0"/>
          <w:color w:val="000000"/>
          <w:kern w:val="2"/>
          <w:sz w:val="32"/>
          <w:szCs w:val="22"/>
          <w:lang w:val="en-US" w:eastAsia="zh-CN" w:bidi="ar-SA"/>
        </w:rPr>
        <w:t>请各设区市、</w:t>
      </w:r>
      <w:r>
        <w:rPr>
          <w:rStyle w:val="10"/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各有关高校</w:t>
      </w:r>
      <w:r>
        <w:rPr>
          <w:rStyle w:val="10"/>
          <w:rFonts w:hint="eastAsia" w:ascii="仿宋_GB2312" w:hAnsi="仿宋" w:eastAsia="仿宋_GB2312" w:cs="Times New Roman"/>
          <w:b w:val="0"/>
          <w:bCs w:val="0"/>
          <w:color w:val="000000"/>
          <w:kern w:val="2"/>
          <w:sz w:val="32"/>
          <w:szCs w:val="22"/>
          <w:lang w:val="en-US" w:eastAsia="zh-CN" w:bidi="ar-SA"/>
        </w:rPr>
        <w:t>按此通知认真组织好各地培训选拔推荐选手工作，提前做好各项准备，正式通知等会文相关厅局后下发。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vertAlign w:val="baseline"/>
          <w:lang w:val="en-US" w:eastAsia="zh-CN" w:bidi="ar"/>
        </w:rPr>
        <w:t>七、联系方式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eastAsia="仿宋_GB2312" w:cs="仿宋_GB2312"/>
          <w:bCs/>
          <w:kern w:val="0"/>
          <w:sz w:val="32"/>
          <w:szCs w:val="32"/>
          <w:vertAlign w:val="baseline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联系单位：江西省妇联妇女发展部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eastAsia="仿宋_GB2312" w:cs="仿宋_GB2312"/>
          <w:bCs/>
          <w:kern w:val="0"/>
          <w:sz w:val="32"/>
          <w:szCs w:val="32"/>
          <w:vertAlign w:val="baseline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 系 人：杜杨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、</w:t>
      </w: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简海珊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eastAsia="仿宋_GB2312" w:cs="仿宋_GB2312"/>
          <w:bCs/>
          <w:kern w:val="0"/>
          <w:sz w:val="32"/>
          <w:szCs w:val="32"/>
          <w:vertAlign w:val="baseline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联系电话：0791-88911661</w:t>
      </w:r>
      <w:bookmarkStart w:id="0" w:name="_GoBack"/>
      <w:bookmarkEnd w:id="0"/>
    </w:p>
    <w:p>
      <w:pPr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en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邮    箱：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vertAlign w:val="baseline"/>
          <w:lang w:val="en-US" w:eastAsia="zh-CN" w:bidi="ar"/>
        </w:rPr>
        <w:instrText xml:space="preserve"> HYPERLINK "mailto:jxfn38@163.com" </w:instrTex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9"/>
          <w:rFonts w:hint="default" w:ascii="仿宋_GB2312" w:eastAsia="仿宋_GB2312" w:cs="仿宋_GB2312"/>
          <w:bCs/>
          <w:color w:val="auto"/>
          <w:kern w:val="0"/>
          <w:sz w:val="32"/>
          <w:szCs w:val="32"/>
          <w:u w:val="none"/>
          <w:vertAlign w:val="baseline"/>
        </w:rPr>
        <w:t>jxfn38@163.com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联系单位：江西省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商务厅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 系 人：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孟理政、范超群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联系电话：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0791-86246513、86246515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邮    箱：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1587657845@qq.com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联系单位：江西省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教育厅高等教育处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 系 人：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汪莹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联系电话：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0791-86756229</w:t>
      </w:r>
    </w:p>
    <w:p>
      <w:pPr>
        <w:spacing w:line="58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邮    箱：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229356667@</w:t>
      </w: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" w:eastAsia="zh-CN" w:bidi="ar"/>
        </w:rPr>
        <w:t>qq.com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联系单位：江西省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电子商务协会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 系 人：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柳涵华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联系电话：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13870901431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baseline"/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邮    箱：</w:t>
      </w: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vertAlign w:val="baseline"/>
          <w:lang w:val="en-US" w:eastAsia="zh-CN" w:bidi="ar"/>
        </w:rPr>
        <w:t>461294186@qq.com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80" w:lineRule="exact"/>
        <w:textAlignment w:val="baseline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 w:eastAsia="zh-CN"/>
        </w:rPr>
        <w:t>江西省妇女联合会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 xml:space="preserve">      江西省商务厅     江西省教育厅</w:t>
      </w:r>
    </w:p>
    <w:p>
      <w:pPr>
        <w:pStyle w:val="3"/>
        <w:rPr>
          <w:rFonts w:hint="default"/>
          <w:i w:val="0"/>
          <w:i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color w:val="auto"/>
          <w:kern w:val="0"/>
          <w:sz w:val="32"/>
          <w:szCs w:val="32"/>
          <w:lang w:val="en-US" w:eastAsia="zh-CN"/>
        </w:rPr>
        <w:t>2022年5月27日</w:t>
      </w:r>
    </w:p>
    <w:p>
      <w:pPr>
        <w:pStyle w:val="3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</w:pPr>
    </w:p>
    <w:p>
      <w:pPr>
        <w:spacing w:line="580" w:lineRule="exact"/>
        <w:textAlignment w:val="baseline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  <w:t xml:space="preserve">  </w:t>
      </w:r>
      <w:r>
        <w:rPr>
          <w:rStyle w:val="10"/>
          <w:rFonts w:ascii="仿宋" w:hAnsi="仿宋" w:eastAsia="仿宋"/>
          <w:color w:val="000000"/>
          <w:sz w:val="32"/>
        </w:rPr>
        <w:t xml:space="preserve">     </w:t>
      </w:r>
    </w:p>
    <w:p>
      <w:pPr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大学生组复赛选手名额</w:t>
      </w: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  <w:t>（账号）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分配表</w:t>
      </w:r>
    </w:p>
    <w:tbl>
      <w:tblPr>
        <w:tblStyle w:val="7"/>
        <w:tblpPr w:leftFromText="180" w:rightFromText="180" w:vertAnchor="text" w:horzAnchor="page" w:tblpX="1845" w:tblpY="2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大学生组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各校名额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驻昌高校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各设区市高校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</w:t>
            </w:r>
          </w:p>
        </w:tc>
      </w:tr>
    </w:tbl>
    <w:p>
      <w:pPr>
        <w:spacing w:line="580" w:lineRule="exact"/>
        <w:ind w:firstLine="56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80" w:lineRule="exact"/>
        <w:jc w:val="both"/>
        <w:textAlignment w:val="baseline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江西巾帼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直播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电商创新创业大赛</w:t>
      </w:r>
    </w:p>
    <w:p>
      <w:pPr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赛选手报名表</w:t>
      </w:r>
    </w:p>
    <w:p/>
    <w:tbl>
      <w:tblPr>
        <w:tblStyle w:val="6"/>
        <w:tblpPr w:leftFromText="180" w:rightFromText="180" w:vertAnchor="text" w:horzAnchor="page" w:tblpX="1042" w:tblpY="220"/>
        <w:tblOverlap w:val="never"/>
        <w:tblW w:w="10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970"/>
        <w:gridCol w:w="450"/>
        <w:gridCol w:w="810"/>
        <w:gridCol w:w="752"/>
        <w:gridCol w:w="618"/>
        <w:gridCol w:w="128"/>
        <w:gridCol w:w="624"/>
        <w:gridCol w:w="1033"/>
        <w:gridCol w:w="1046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11"/>
              <w:spacing w:before="165"/>
              <w:ind w:left="17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pStyle w:val="11"/>
              <w:spacing w:before="165"/>
              <w:ind w:left="15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pStyle w:val="11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985" w:type="dxa"/>
            <w:gridSpan w:val="2"/>
            <w:noWrap w:val="0"/>
            <w:vAlign w:val="top"/>
          </w:tcPr>
          <w:p>
            <w:pPr>
              <w:pStyle w:val="11"/>
              <w:spacing w:before="155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82" w:type="dxa"/>
            <w:gridSpan w:val="6"/>
            <w:noWrap w:val="0"/>
            <w:vAlign w:val="top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line="312" w:lineRule="auto"/>
              <w:ind w:left="143" w:right="93" w:firstLine="9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参赛组别</w:t>
            </w:r>
          </w:p>
        </w:tc>
        <w:tc>
          <w:tcPr>
            <w:tcW w:w="5461" w:type="dxa"/>
            <w:gridSpan w:val="8"/>
            <w:noWrap w:val="0"/>
            <w:vAlign w:val="center"/>
          </w:tcPr>
          <w:p>
            <w:pPr>
              <w:pStyle w:val="11"/>
              <w:ind w:left="109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社会组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大学生组</w:t>
            </w:r>
          </w:p>
        </w:tc>
        <w:tc>
          <w:tcPr>
            <w:tcW w:w="2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参赛账号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名称及ID</w:t>
            </w:r>
          </w:p>
        </w:tc>
        <w:tc>
          <w:tcPr>
            <w:tcW w:w="26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仿宋_GB2312"/>
                <w:sz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和微信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社会组所在MCN机构名称/</w:t>
            </w:r>
          </w:p>
          <w:p>
            <w:pPr>
              <w:pStyle w:val="11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大学生组所在高校</w:t>
            </w:r>
          </w:p>
        </w:tc>
        <w:tc>
          <w:tcPr>
            <w:tcW w:w="26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both"/>
              <w:rPr>
                <w:rFonts w:hint="default" w:ascii="仿宋_GB2312" w:hAnsi="仿宋_GB2312" w:eastAsia="仿宋_GB2312" w:cs="仿宋_GB2312"/>
                <w:sz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MCN机构联系人/大学生组指导教师姓名、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和微信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line="312" w:lineRule="auto"/>
              <w:ind w:right="365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简介</w:t>
            </w:r>
          </w:p>
        </w:tc>
        <w:tc>
          <w:tcPr>
            <w:tcW w:w="7531" w:type="dxa"/>
            <w:gridSpan w:val="9"/>
            <w:noWrap w:val="0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before="93" w:line="299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社会组直播带货经历/</w:t>
            </w:r>
          </w:p>
          <w:p>
            <w:pPr>
              <w:pStyle w:val="11"/>
              <w:spacing w:before="93" w:line="299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大学生组短视频创作经历</w:t>
            </w:r>
          </w:p>
        </w:tc>
        <w:tc>
          <w:tcPr>
            <w:tcW w:w="7531" w:type="dxa"/>
            <w:gridSpan w:val="9"/>
            <w:noWrap w:val="0"/>
            <w:vAlign w:val="top"/>
          </w:tcPr>
          <w:p>
            <w:pPr>
              <w:pStyle w:val="11"/>
              <w:ind w:firstLine="520" w:firstLineChars="20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11"/>
              <w:ind w:firstLine="520" w:firstLineChars="20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line="312" w:lineRule="auto"/>
              <w:ind w:right="125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一句话参赛感言口号</w:t>
            </w:r>
          </w:p>
        </w:tc>
        <w:tc>
          <w:tcPr>
            <w:tcW w:w="7531" w:type="dxa"/>
            <w:gridSpan w:val="9"/>
            <w:noWrap w:val="0"/>
            <w:vAlign w:val="top"/>
          </w:tcPr>
          <w:p>
            <w:pPr>
              <w:pStyle w:val="11"/>
              <w:spacing w:before="1"/>
              <w:rPr>
                <w:rFonts w:hint="eastAsia" w:ascii="仿宋_GB2312" w:hAnsi="仿宋_GB2312" w:eastAsia="仿宋_GB2312" w:cs="仿宋_GB2312"/>
                <w:b/>
                <w:sz w:val="26"/>
              </w:rPr>
            </w:pPr>
          </w:p>
          <w:p>
            <w:pPr>
              <w:pStyle w:val="11"/>
              <w:tabs>
                <w:tab w:val="left" w:pos="6999"/>
                <w:tab w:val="left" w:pos="7479"/>
              </w:tabs>
              <w:spacing w:before="94"/>
              <w:ind w:left="639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line="312" w:lineRule="auto"/>
              <w:ind w:right="125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是否需要推荐就业</w:t>
            </w:r>
          </w:p>
        </w:tc>
        <w:tc>
          <w:tcPr>
            <w:tcW w:w="7531" w:type="dxa"/>
            <w:gridSpan w:val="9"/>
            <w:noWrap w:val="0"/>
            <w:vAlign w:val="top"/>
          </w:tcPr>
          <w:p>
            <w:pPr>
              <w:pStyle w:val="11"/>
              <w:tabs>
                <w:tab w:val="left" w:pos="6999"/>
                <w:tab w:val="left" w:pos="7479"/>
              </w:tabs>
              <w:spacing w:before="94"/>
              <w:ind w:left="639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pStyle w:val="11"/>
              <w:spacing w:line="312" w:lineRule="auto"/>
              <w:ind w:right="8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单位意见</w:t>
            </w:r>
          </w:p>
        </w:tc>
        <w:tc>
          <w:tcPr>
            <w:tcW w:w="7531" w:type="dxa"/>
            <w:gridSpan w:val="9"/>
            <w:noWrap w:val="0"/>
            <w:vAlign w:val="top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11"/>
              <w:spacing w:before="16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</w:p>
          <w:p>
            <w:pPr>
              <w:pStyle w:val="11"/>
              <w:spacing w:before="91"/>
              <w:ind w:right="997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11"/>
              <w:tabs>
                <w:tab w:val="left" w:pos="7041"/>
                <w:tab w:val="left" w:pos="7521"/>
              </w:tabs>
              <w:spacing w:before="93"/>
              <w:ind w:left="644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580" w:lineRule="exact"/>
        <w:textAlignment w:val="baseline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"/>
        </w:rPr>
      </w:pPr>
    </w:p>
    <w:p>
      <w:pPr>
        <w:spacing w:line="580" w:lineRule="exact"/>
        <w:textAlignment w:val="baseline"/>
        <w:rPr>
          <w:rFonts w:ascii="仿宋_GB2312" w:hAnsi="仿宋_GB2312" w:eastAsia="仿宋_GB2312" w:cs="仿宋_GB2312"/>
          <w:bCs/>
          <w:kern w:val="0"/>
          <w:sz w:val="32"/>
          <w:szCs w:val="32"/>
          <w:lang w:val="en"/>
        </w:rPr>
        <w:sectPr>
          <w:footerReference r:id="rId3" w:type="default"/>
          <w:pgSz w:w="11906" w:h="16838"/>
          <w:pgMar w:top="1020" w:right="1800" w:bottom="1118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各设区市/各高校选拔推荐省赛选手汇总表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宋体" w:hAnsi="宋体" w:eastAsia="宋体" w:cs="Times New Roman"/>
          <w:b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  <w:lang w:val="en-US" w:eastAsia="zh-CN"/>
        </w:rPr>
        <w:t xml:space="preserve">   市/高校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00"/>
        <w:gridCol w:w="1605"/>
        <w:gridCol w:w="2610"/>
        <w:gridCol w:w="2025"/>
        <w:gridCol w:w="268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参赛账号名称及ID</w:t>
            </w: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  <w:t>社会组所在MCN机构名称/大学生组所在高校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仿宋_GB2312" w:hAnsi="仿宋_GB2312" w:eastAsia="宋体" w:cs="仿宋_GB2312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Style w:val="10"/>
          <w:rFonts w:hint="eastAsia"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仿宋_GB2312" w:hAnsi="仿宋_GB2312" w:eastAsia="宋体" w:cs="仿宋_GB2312"/>
          <w:b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>备注：设区市/高校 联系人姓名：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footerReference r:id="rId4" w:type="default"/>
      <w:pgSz w:w="16838" w:h="11906" w:orient="landscape"/>
      <w:pgMar w:top="1800" w:right="1020" w:bottom="1800" w:left="1118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10</w:t>
    </w:r>
    <w:sdt>
      <w:sdtPr>
        <w:id w:val="87795288"/>
      </w:sdtPr>
      <w:sdtContent/>
    </w:sdt>
  </w:p>
  <w:p>
    <w:pPr>
      <w:pStyle w:val="4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DQzNDMyOGRmNGRjZWYxNzE3YTJiYTIzNDc3NWQifQ=="/>
  </w:docVars>
  <w:rsids>
    <w:rsidRoot w:val="00000000"/>
    <w:rsid w:val="00BD7B3B"/>
    <w:rsid w:val="135C24EB"/>
    <w:rsid w:val="32D16607"/>
    <w:rsid w:val="33347107"/>
    <w:rsid w:val="3472FEB1"/>
    <w:rsid w:val="431D3B9B"/>
    <w:rsid w:val="5A340032"/>
    <w:rsid w:val="5AAA58E5"/>
    <w:rsid w:val="5BCE4689"/>
    <w:rsid w:val="5FCD7D90"/>
    <w:rsid w:val="76741010"/>
    <w:rsid w:val="77FBAB87"/>
    <w:rsid w:val="77FFEBC4"/>
    <w:rsid w:val="7BB3DE1D"/>
    <w:rsid w:val="7EEF83B8"/>
    <w:rsid w:val="9FFD534F"/>
    <w:rsid w:val="A6DD79DB"/>
    <w:rsid w:val="B62E294B"/>
    <w:rsid w:val="DF7FE8A5"/>
    <w:rsid w:val="DF9DB4A4"/>
    <w:rsid w:val="EFF7C0F7"/>
    <w:rsid w:val="FBCDA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4796</Words>
  <Characters>5024</Characters>
  <Lines>0</Lines>
  <Paragraphs>0</Paragraphs>
  <TotalTime>18</TotalTime>
  <ScaleCrop>false</ScaleCrop>
  <LinksUpToDate>false</LinksUpToDate>
  <CharactersWithSpaces>5127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wangying</cp:lastModifiedBy>
  <cp:lastPrinted>2022-05-30T14:45:47Z</cp:lastPrinted>
  <dcterms:modified xsi:type="dcterms:W3CDTF">2022-05-30T14:50:05Z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ED2E4D9F8D784A47A09A04077B8ED374</vt:lpwstr>
  </property>
</Properties>
</file>